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F514" w14:textId="3EC2394C" w:rsidR="00E55714" w:rsidRDefault="00E55714" w:rsidP="00E557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 xml:space="preserve">This policy is intended to set out the values, principles and policies underpinning the Committee’s </w:t>
      </w:r>
      <w:r w:rsidRPr="00BE28B4">
        <w:rPr>
          <w:rFonts w:ascii="Arial" w:eastAsia="Times New Roman" w:hAnsi="Arial" w:cs="Arial"/>
          <w:i/>
          <w:iCs/>
          <w:sz w:val="22"/>
          <w:szCs w:val="22"/>
        </w:rPr>
        <w:t xml:space="preserve">approach to </w:t>
      </w:r>
      <w:r w:rsidR="00113E00" w:rsidRPr="00BE28B4">
        <w:rPr>
          <w:rFonts w:ascii="Arial" w:eastAsia="Times New Roman" w:hAnsi="Arial" w:cs="Arial"/>
          <w:i/>
          <w:iCs/>
          <w:sz w:val="22"/>
          <w:szCs w:val="22"/>
        </w:rPr>
        <w:t>D</w:t>
      </w:r>
      <w:r w:rsidR="006F1FAD" w:rsidRPr="00BE28B4">
        <w:rPr>
          <w:rFonts w:ascii="Arial" w:eastAsia="Times New Roman" w:hAnsi="Arial" w:cs="Arial"/>
          <w:i/>
          <w:iCs/>
          <w:sz w:val="22"/>
          <w:szCs w:val="22"/>
        </w:rPr>
        <w:t>isciplinary</w:t>
      </w:r>
      <w:r w:rsidR="00113E00" w:rsidRPr="00BE28B4">
        <w:rPr>
          <w:rFonts w:ascii="Arial" w:eastAsia="Times New Roman" w:hAnsi="Arial" w:cs="Arial"/>
          <w:i/>
          <w:iCs/>
          <w:sz w:val="22"/>
          <w:szCs w:val="22"/>
        </w:rPr>
        <w:t xml:space="preserve"> and</w:t>
      </w:r>
      <w:r w:rsidR="006F1FAD" w:rsidRPr="00BE28B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="00113E00" w:rsidRPr="00BE28B4">
        <w:rPr>
          <w:rFonts w:ascii="Arial" w:eastAsia="Times New Roman" w:hAnsi="Arial" w:cs="Arial"/>
          <w:i/>
          <w:iCs/>
          <w:sz w:val="22"/>
          <w:szCs w:val="22"/>
        </w:rPr>
        <w:t xml:space="preserve">Confidentiality </w:t>
      </w:r>
      <w:r w:rsidR="006F1FAD" w:rsidRPr="00BE28B4">
        <w:rPr>
          <w:rFonts w:ascii="Arial" w:eastAsia="Times New Roman" w:hAnsi="Arial" w:cs="Arial"/>
          <w:i/>
          <w:iCs/>
          <w:sz w:val="22"/>
          <w:szCs w:val="22"/>
        </w:rPr>
        <w:t>procedures.</w:t>
      </w:r>
      <w:r w:rsidR="00113E00" w:rsidRPr="00BE28B4">
        <w:rPr>
          <w:rFonts w:ascii="Arial" w:eastAsia="Times New Roman" w:hAnsi="Arial" w:cs="Arial"/>
          <w:i/>
          <w:iCs/>
          <w:sz w:val="22"/>
          <w:szCs w:val="22"/>
        </w:rPr>
        <w:t xml:space="preserve">  (P003 Confidentiality refers).</w:t>
      </w:r>
    </w:p>
    <w:p w14:paraId="0B5F9965" w14:textId="77777777" w:rsidR="00E55714" w:rsidRDefault="00E55714" w:rsidP="00E5571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6D8C5C67" w14:textId="2C649D3C" w:rsidR="00E55714" w:rsidRDefault="00E55714" w:rsidP="00E55714">
      <w:pPr>
        <w:numPr>
          <w:ilvl w:val="12"/>
          <w:numId w:val="0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Committee is committed to providing the best possible working conditions for its staff and Committee members.</w:t>
      </w:r>
    </w:p>
    <w:p w14:paraId="5F5564FD" w14:textId="77777777" w:rsidR="00E55714" w:rsidRDefault="00E55714" w:rsidP="00E55714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F20C68F" w14:textId="4373EDB3" w:rsidR="00E55714" w:rsidRPr="00403F99" w:rsidRDefault="00E55714" w:rsidP="00403F99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E55714">
        <w:rPr>
          <w:rFonts w:ascii="Arial" w:eastAsia="Times New Roman" w:hAnsi="Arial" w:cs="Arial"/>
          <w:b/>
          <w:sz w:val="22"/>
          <w:szCs w:val="22"/>
          <w:u w:val="single"/>
        </w:rPr>
        <w:t>In the event of a breach in Confidentiality</w:t>
      </w:r>
      <w:r>
        <w:rPr>
          <w:rFonts w:ascii="Arial" w:eastAsia="Times New Roman" w:hAnsi="Arial" w:cs="Arial"/>
          <w:b/>
          <w:sz w:val="22"/>
          <w:szCs w:val="22"/>
          <w:u w:val="single"/>
        </w:rPr>
        <w:t xml:space="preserve"> (Misconduct)</w:t>
      </w:r>
      <w:r w:rsidRPr="00E55714">
        <w:rPr>
          <w:rFonts w:ascii="Arial" w:eastAsia="Times New Roman" w:hAnsi="Arial" w:cs="Arial"/>
          <w:b/>
          <w:sz w:val="22"/>
          <w:szCs w:val="22"/>
          <w:u w:val="single"/>
        </w:rPr>
        <w:t>:</w:t>
      </w:r>
    </w:p>
    <w:p w14:paraId="0C27A440" w14:textId="5172D5F3" w:rsidR="003C4372" w:rsidRPr="007A303B" w:rsidRDefault="003C4372" w:rsidP="007A303B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80"/>
        <w:ind w:left="432" w:hanging="43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Where minor offences are committed such as the disclosure of Confidential information, then the formal disciplinary procedure may be followed:</w:t>
      </w:r>
    </w:p>
    <w:p w14:paraId="7DA9382A" w14:textId="3D86A245" w:rsidR="003C4372" w:rsidRDefault="003C4372" w:rsidP="007A303B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and</w:t>
      </w:r>
    </w:p>
    <w:p w14:paraId="2B83B98E" w14:textId="296C8D45" w:rsidR="003C4372" w:rsidRPr="007A303B" w:rsidRDefault="003C4372" w:rsidP="007A303B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80"/>
        <w:ind w:left="432" w:hanging="43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Disciplinary action may take place depending on the severity of the problem and the number of occurrences.</w:t>
      </w:r>
    </w:p>
    <w:p w14:paraId="77723946" w14:textId="77777777" w:rsidR="003C4372" w:rsidRDefault="003C4372" w:rsidP="003C4372">
      <w:pPr>
        <w:widowControl w:val="0"/>
        <w:numPr>
          <w:ilvl w:val="1"/>
          <w:numId w:val="1"/>
        </w:numPr>
        <w:tabs>
          <w:tab w:val="left" w:pos="-2977"/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 verbal warning.</w:t>
      </w:r>
    </w:p>
    <w:p w14:paraId="740C3793" w14:textId="77777777" w:rsidR="003C4372" w:rsidRDefault="003C4372" w:rsidP="003C4372">
      <w:pPr>
        <w:widowControl w:val="0"/>
        <w:numPr>
          <w:ilvl w:val="1"/>
          <w:numId w:val="1"/>
        </w:numPr>
        <w:tabs>
          <w:tab w:val="left" w:pos="-2977"/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One or more written warnings.</w:t>
      </w:r>
    </w:p>
    <w:p w14:paraId="13BCFA11" w14:textId="77777777" w:rsidR="003C4372" w:rsidRDefault="003C4372" w:rsidP="003C4372">
      <w:pPr>
        <w:widowControl w:val="0"/>
        <w:numPr>
          <w:ilvl w:val="1"/>
          <w:numId w:val="1"/>
        </w:numPr>
        <w:tabs>
          <w:tab w:val="left" w:pos="-2977"/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Final written warning.</w:t>
      </w:r>
      <w:r>
        <w:rPr>
          <w:rFonts w:ascii="Arial" w:eastAsia="Times New Roman" w:hAnsi="Arial" w:cs="Arial"/>
          <w:sz w:val="22"/>
          <w:szCs w:val="22"/>
        </w:rPr>
        <w:tab/>
      </w:r>
    </w:p>
    <w:p w14:paraId="53D214CC" w14:textId="555B3489" w:rsidR="003C4372" w:rsidRDefault="003C4372" w:rsidP="003C4372">
      <w:pPr>
        <w:widowControl w:val="0"/>
        <w:numPr>
          <w:ilvl w:val="1"/>
          <w:numId w:val="1"/>
        </w:numPr>
        <w:tabs>
          <w:tab w:val="left" w:pos="-2977"/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Dismissal from the Committee or work place</w:t>
      </w:r>
    </w:p>
    <w:p w14:paraId="4A0C6C91" w14:textId="77777777" w:rsidR="003C4372" w:rsidRDefault="003C4372" w:rsidP="00E55714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CDBA9DA" w14:textId="37E26AC3" w:rsidR="00E55714" w:rsidRPr="00403F99" w:rsidRDefault="00E55714" w:rsidP="00403F99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Investigation</w:t>
      </w:r>
    </w:p>
    <w:p w14:paraId="320FCC97" w14:textId="53E00807" w:rsidR="00E55714" w:rsidRDefault="00E55714" w:rsidP="00E55714">
      <w:pPr>
        <w:widowControl w:val="0"/>
        <w:numPr>
          <w:ilvl w:val="1"/>
          <w:numId w:val="1"/>
        </w:numPr>
        <w:tabs>
          <w:tab w:val="left" w:pos="-2977"/>
          <w:tab w:val="left" w:pos="425"/>
          <w:tab w:val="left" w:pos="992"/>
          <w:tab w:val="left" w:pos="184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Following any alleged misconduct or breach of confidentiality, an investigation must be carried out to ascertain the facts. This investigation can be carried out by a senior member of the Committee.  It is advisable that the person conducting the investigation does not then conduct any disciplinary hearing that may result from that investigation.</w:t>
      </w:r>
    </w:p>
    <w:p w14:paraId="46E4F641" w14:textId="06AC0D64" w:rsidR="003C31B5" w:rsidRDefault="003C31B5"/>
    <w:p w14:paraId="232B8EBE" w14:textId="6CE0792E" w:rsidR="00E55714" w:rsidRPr="00403F99" w:rsidRDefault="00E55714" w:rsidP="00403F99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Examples of misconduct</w:t>
      </w:r>
    </w:p>
    <w:p w14:paraId="590FC712" w14:textId="77777777" w:rsidR="00E55714" w:rsidRDefault="00E55714" w:rsidP="00E55714">
      <w:pPr>
        <w:widowControl w:val="0"/>
        <w:numPr>
          <w:ilvl w:val="1"/>
          <w:numId w:val="1"/>
        </w:numPr>
        <w:tabs>
          <w:tab w:val="left" w:pos="-3119"/>
          <w:tab w:val="left" w:pos="425"/>
          <w:tab w:val="left" w:pos="992"/>
          <w:tab w:val="left" w:pos="184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Distinction between the types of misconduct is not always clear and may depend on</w:t>
      </w:r>
    </w:p>
    <w:p w14:paraId="4D54D248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p w14:paraId="4A13FEB4" w14:textId="6D6329E1" w:rsidR="00E55714" w:rsidRDefault="00E55714" w:rsidP="00E55714">
      <w:pPr>
        <w:widowControl w:val="0"/>
        <w:numPr>
          <w:ilvl w:val="0"/>
          <w:numId w:val="2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ind w:left="171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individual’s history relating to the Committee</w:t>
      </w:r>
    </w:p>
    <w:p w14:paraId="7C1F2477" w14:textId="32E31495" w:rsidR="00E55714" w:rsidRDefault="00E55714" w:rsidP="00E55714">
      <w:pPr>
        <w:widowControl w:val="0"/>
        <w:numPr>
          <w:ilvl w:val="0"/>
          <w:numId w:val="2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ind w:left="171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individual’s intent and whether the behaviour was deliberate</w:t>
      </w:r>
    </w:p>
    <w:p w14:paraId="51C6EAB5" w14:textId="77777777" w:rsidR="00E55714" w:rsidRDefault="00E55714" w:rsidP="00E55714">
      <w:pPr>
        <w:widowControl w:val="0"/>
        <w:numPr>
          <w:ilvl w:val="0"/>
          <w:numId w:val="2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171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circumstances of the incident</w:t>
      </w:r>
    </w:p>
    <w:p w14:paraId="0BD5F02C" w14:textId="296B874D" w:rsidR="00E55714" w:rsidRDefault="00E55714"/>
    <w:p w14:paraId="711654F0" w14:textId="2081A66C" w:rsidR="00E55714" w:rsidRPr="00403F99" w:rsidRDefault="00E55714" w:rsidP="00403F99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The Disciplinary Hearing</w:t>
      </w:r>
    </w:p>
    <w:p w14:paraId="00C58057" w14:textId="77777777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 disciplinary hearing can only take place once a full investigation has been completed.</w:t>
      </w:r>
    </w:p>
    <w:p w14:paraId="33D9348A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2EC16F0C" w14:textId="25CB8A4B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hearing must take place in private</w:t>
      </w:r>
      <w:r w:rsidR="008F6390">
        <w:rPr>
          <w:rFonts w:ascii="Arial" w:eastAsia="Times New Roman" w:hAnsi="Arial" w:cs="Arial"/>
          <w:sz w:val="22"/>
          <w:szCs w:val="22"/>
        </w:rPr>
        <w:t xml:space="preserve"> by the </w:t>
      </w:r>
      <w:r w:rsidR="008F6390" w:rsidRPr="00A70177">
        <w:rPr>
          <w:rFonts w:ascii="Arial" w:eastAsia="Times New Roman" w:hAnsi="Arial" w:cs="Arial"/>
          <w:sz w:val="22"/>
          <w:szCs w:val="22"/>
        </w:rPr>
        <w:t xml:space="preserve">Chairperson </w:t>
      </w:r>
      <w:r w:rsidR="00A70177">
        <w:rPr>
          <w:rFonts w:ascii="Arial" w:eastAsia="Times New Roman" w:hAnsi="Arial" w:cs="Arial"/>
          <w:sz w:val="22"/>
          <w:szCs w:val="22"/>
        </w:rPr>
        <w:t>and/or Vice Chairperson.</w:t>
      </w:r>
    </w:p>
    <w:p w14:paraId="4DCDE754" w14:textId="5D409140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6F305A0A" w14:textId="7E6734DC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Disciplinary action must always be preceded by a hearing to present the facts to an individual and enable the individual to respond.</w:t>
      </w:r>
    </w:p>
    <w:p w14:paraId="2CFB35F5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3C51C974" w14:textId="30B7CDCB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403F99">
        <w:rPr>
          <w:rFonts w:ascii="Arial" w:eastAsia="Times New Roman" w:hAnsi="Arial" w:cs="Arial"/>
          <w:sz w:val="22"/>
          <w:szCs w:val="22"/>
        </w:rPr>
        <w:t>An individual will be given, in writing, at least 3 (three) working days’ notice of the hearing, to</w:t>
      </w:r>
      <w:r>
        <w:rPr>
          <w:rFonts w:ascii="Arial" w:eastAsia="Times New Roman" w:hAnsi="Arial" w:cs="Arial"/>
          <w:sz w:val="22"/>
          <w:szCs w:val="22"/>
        </w:rPr>
        <w:t xml:space="preserve"> include the date, time and venue for the hearing, and who will be conducting the hearing.</w:t>
      </w:r>
    </w:p>
    <w:p w14:paraId="28AA2BA0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235873B7" w14:textId="77777777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It is advisable for a second person to be present at the hearing for the purposes of taking notes and witnessing the process.</w:t>
      </w:r>
    </w:p>
    <w:p w14:paraId="135BFE1D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4B304EB7" w14:textId="6499EC5B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individual has a right to be accompanied by a colleague not involved directly in the matter. </w:t>
      </w:r>
    </w:p>
    <w:p w14:paraId="17489474" w14:textId="28DA40AC" w:rsidR="00403F99" w:rsidRDefault="00403F99">
      <w:pPr>
        <w:spacing w:after="160" w:line="259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</w:p>
    <w:p w14:paraId="57EFCC3E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398C64BD" w14:textId="2D6CF62D" w:rsidR="00E55714" w:rsidRPr="007A303B" w:rsidRDefault="00E55714" w:rsidP="007A303B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8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individual should be provided with full details of the allegation(s) and any documentary </w:t>
      </w:r>
      <w:r w:rsidRPr="00403F99">
        <w:rPr>
          <w:rFonts w:ascii="Arial" w:eastAsia="Times New Roman" w:hAnsi="Arial" w:cs="Arial"/>
          <w:sz w:val="22"/>
          <w:szCs w:val="22"/>
        </w:rPr>
        <w:t>evidence such as witness statements at least 3 (three) working days before the date of the</w:t>
      </w:r>
      <w:r>
        <w:rPr>
          <w:rFonts w:ascii="Arial" w:eastAsia="Times New Roman" w:hAnsi="Arial" w:cs="Arial"/>
          <w:sz w:val="22"/>
          <w:szCs w:val="22"/>
        </w:rPr>
        <w:t xml:space="preserve"> hearing.</w:t>
      </w:r>
    </w:p>
    <w:p w14:paraId="04C895E7" w14:textId="1A452D76" w:rsidR="00E55714" w:rsidRPr="007A303B" w:rsidRDefault="00E55714" w:rsidP="007A303B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8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individual will be given the opportunity to state their case at the hearing.</w:t>
      </w:r>
    </w:p>
    <w:p w14:paraId="04041C0A" w14:textId="7DA0E4D5" w:rsidR="00E55714" w:rsidRPr="007A303B" w:rsidRDefault="00E55714" w:rsidP="007A303B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80"/>
        <w:ind w:left="994" w:hanging="56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Written records should be kept of the facts, findings and outcome of the hearing by the person conducting the hearing. </w:t>
      </w:r>
    </w:p>
    <w:p w14:paraId="1F02033A" w14:textId="45251FCB" w:rsidR="00E55714" w:rsidRPr="00E55714" w:rsidRDefault="00E55714" w:rsidP="007A303B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134"/>
        </w:tabs>
        <w:autoSpaceDE w:val="0"/>
        <w:autoSpaceDN w:val="0"/>
        <w:adjustRightInd w:val="0"/>
        <w:spacing w:after="80"/>
        <w:rPr>
          <w:rFonts w:ascii="Arial" w:eastAsia="Times New Roman" w:hAnsi="Arial" w:cs="Arial"/>
          <w:b/>
          <w:sz w:val="22"/>
          <w:szCs w:val="22"/>
        </w:rPr>
      </w:pPr>
      <w:r w:rsidRPr="00E55714">
        <w:rPr>
          <w:rFonts w:ascii="Arial" w:eastAsia="Times New Roman" w:hAnsi="Arial" w:cs="Arial"/>
          <w:sz w:val="22"/>
          <w:szCs w:val="22"/>
        </w:rPr>
        <w:t>Following any disciplinary hearing the individual will receive in writing confirmation of the outcome of the hearing and where appropriate time scales for improvement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2B427ACC" w14:textId="257B447C" w:rsidR="00E55714" w:rsidRDefault="00E55714" w:rsidP="00E55714">
      <w:p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</w:rPr>
      </w:pPr>
    </w:p>
    <w:p w14:paraId="306DBCD3" w14:textId="77777777" w:rsidR="00E55714" w:rsidRDefault="00E55714" w:rsidP="00E55714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Appeals Procedure</w:t>
      </w:r>
    </w:p>
    <w:p w14:paraId="7CF1C6E3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jc w:val="both"/>
        <w:rPr>
          <w:rFonts w:ascii="Arial" w:eastAsia="Times New Roman" w:hAnsi="Arial"/>
          <w:sz w:val="22"/>
          <w:szCs w:val="22"/>
        </w:rPr>
      </w:pPr>
    </w:p>
    <w:p w14:paraId="6267E34E" w14:textId="549137A4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Individuals </w:t>
      </w:r>
      <w:r>
        <w:rPr>
          <w:rFonts w:ascii="Arial" w:eastAsia="Times New Roman" w:hAnsi="Arial"/>
          <w:sz w:val="22"/>
          <w:szCs w:val="22"/>
        </w:rPr>
        <w:t xml:space="preserve">have the right to appeal against any formal disciplinary action (not verbal warnings) </w:t>
      </w:r>
      <w:r w:rsidRPr="00403F99">
        <w:rPr>
          <w:rFonts w:ascii="Arial" w:eastAsia="Times New Roman" w:hAnsi="Arial"/>
          <w:sz w:val="22"/>
          <w:szCs w:val="22"/>
        </w:rPr>
        <w:t xml:space="preserve">by informing the </w:t>
      </w:r>
      <w:r w:rsidR="00A70177">
        <w:rPr>
          <w:rFonts w:ascii="Arial" w:eastAsia="Times New Roman" w:hAnsi="Arial"/>
          <w:sz w:val="22"/>
          <w:szCs w:val="22"/>
        </w:rPr>
        <w:t>Chairperson</w:t>
      </w:r>
      <w:r w:rsidRPr="00403F99">
        <w:rPr>
          <w:rFonts w:ascii="Arial" w:eastAsia="Times New Roman" w:hAnsi="Arial"/>
          <w:sz w:val="22"/>
          <w:szCs w:val="22"/>
        </w:rPr>
        <w:t xml:space="preserve"> in writing within 5 five working days of notification of the disciplinary</w:t>
      </w:r>
      <w:r>
        <w:rPr>
          <w:rFonts w:ascii="Arial" w:eastAsia="Times New Roman" w:hAnsi="Arial"/>
          <w:sz w:val="22"/>
          <w:szCs w:val="22"/>
        </w:rPr>
        <w:t xml:space="preserve"> sanction.  This letter must clearly state the grounds for the appeal. The grounds for appeal are where: -</w:t>
      </w:r>
    </w:p>
    <w:p w14:paraId="46881674" w14:textId="6F1F925F" w:rsidR="00E55714" w:rsidRDefault="00E55714" w:rsidP="00E55714">
      <w:pPr>
        <w:widowControl w:val="0"/>
        <w:numPr>
          <w:ilvl w:val="2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The </w:t>
      </w:r>
      <w:r>
        <w:rPr>
          <w:rFonts w:ascii="Arial" w:eastAsia="Times New Roman" w:hAnsi="Arial" w:cs="Arial"/>
          <w:sz w:val="22"/>
          <w:szCs w:val="22"/>
        </w:rPr>
        <w:t xml:space="preserve">individual </w:t>
      </w:r>
      <w:r>
        <w:rPr>
          <w:rFonts w:ascii="Arial" w:eastAsia="Times New Roman" w:hAnsi="Arial"/>
          <w:sz w:val="22"/>
          <w:szCs w:val="22"/>
        </w:rPr>
        <w:t>believes that the disciplinary action is disproportionate to the offence</w:t>
      </w:r>
    </w:p>
    <w:p w14:paraId="6DD2484A" w14:textId="77777777" w:rsidR="00E55714" w:rsidRDefault="00E55714" w:rsidP="00E55714">
      <w:pPr>
        <w:widowControl w:val="0"/>
        <w:numPr>
          <w:ilvl w:val="2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The disciplinary process was not followed properly</w:t>
      </w:r>
    </w:p>
    <w:p w14:paraId="372C2B28" w14:textId="77777777" w:rsidR="00E55714" w:rsidRDefault="00E55714" w:rsidP="00E55714">
      <w:pPr>
        <w:widowControl w:val="0"/>
        <w:numPr>
          <w:ilvl w:val="2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New evidence has emerged that was not available at the original hearing.</w:t>
      </w:r>
    </w:p>
    <w:p w14:paraId="1A4B0E76" w14:textId="77777777" w:rsidR="00823BF9" w:rsidRDefault="00823BF9" w:rsidP="00823BF9">
      <w:pPr>
        <w:rPr>
          <w:rFonts w:ascii="Arial" w:eastAsia="Times New Roman" w:hAnsi="Arial"/>
          <w:sz w:val="22"/>
          <w:szCs w:val="22"/>
        </w:rPr>
      </w:pPr>
    </w:p>
    <w:p w14:paraId="1A8644AC" w14:textId="041D34F2" w:rsidR="00E55714" w:rsidRDefault="00E55714" w:rsidP="00823BF9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An appeal against disciplinary action will be heard by the </w:t>
      </w:r>
      <w:r w:rsidR="00A70177">
        <w:rPr>
          <w:rFonts w:ascii="Arial" w:eastAsia="Times New Roman" w:hAnsi="Arial"/>
          <w:sz w:val="22"/>
          <w:szCs w:val="22"/>
        </w:rPr>
        <w:t>Chairperson</w:t>
      </w:r>
      <w:r>
        <w:rPr>
          <w:rFonts w:ascii="Arial" w:eastAsia="Times New Roman" w:hAnsi="Arial"/>
          <w:sz w:val="22"/>
          <w:szCs w:val="22"/>
        </w:rPr>
        <w:t xml:space="preserve">. </w:t>
      </w:r>
      <w:r w:rsidR="00823BF9">
        <w:rPr>
          <w:rFonts w:ascii="Arial" w:eastAsia="Times New Roman" w:hAnsi="Arial"/>
          <w:sz w:val="22"/>
          <w:szCs w:val="22"/>
        </w:rPr>
        <w:t xml:space="preserve">The </w:t>
      </w:r>
      <w:r w:rsidR="00A70177">
        <w:rPr>
          <w:rFonts w:ascii="Arial" w:eastAsia="Times New Roman" w:hAnsi="Arial"/>
          <w:sz w:val="22"/>
          <w:szCs w:val="22"/>
        </w:rPr>
        <w:t>Chairperson</w:t>
      </w:r>
      <w:r w:rsidR="00823BF9">
        <w:rPr>
          <w:rFonts w:ascii="Arial" w:eastAsia="Times New Roman" w:hAnsi="Arial"/>
          <w:sz w:val="22"/>
          <w:szCs w:val="22"/>
        </w:rPr>
        <w:t>’s</w:t>
      </w:r>
      <w:r>
        <w:rPr>
          <w:rFonts w:ascii="Arial" w:eastAsia="Times New Roman" w:hAnsi="Arial"/>
          <w:sz w:val="22"/>
          <w:szCs w:val="22"/>
        </w:rPr>
        <w:t xml:space="preserve"> decision is final. </w:t>
      </w:r>
    </w:p>
    <w:p w14:paraId="7BB96E2F" w14:textId="77777777" w:rsidR="00823BF9" w:rsidRDefault="00823BF9" w:rsidP="00823BF9">
      <w:pPr>
        <w:rPr>
          <w:rFonts w:ascii="Arial" w:eastAsia="Times New Roman" w:hAnsi="Arial"/>
          <w:sz w:val="22"/>
          <w:szCs w:val="22"/>
        </w:rPr>
      </w:pPr>
    </w:p>
    <w:p w14:paraId="2C0541AB" w14:textId="4D97C38C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In the case of dismissals, the appeal will take the form of a </w:t>
      </w:r>
      <w:r>
        <w:rPr>
          <w:rFonts w:ascii="Arial" w:eastAsia="Times New Roman" w:hAnsi="Arial"/>
          <w:b/>
          <w:sz w:val="22"/>
          <w:szCs w:val="22"/>
        </w:rPr>
        <w:t>re-hearing.</w:t>
      </w:r>
    </w:p>
    <w:p w14:paraId="60B50606" w14:textId="63982A5C" w:rsidR="00E55714" w:rsidRDefault="00E55714" w:rsidP="00E55714">
      <w:pPr>
        <w:tabs>
          <w:tab w:val="left" w:pos="425"/>
          <w:tab w:val="left" w:pos="992"/>
          <w:tab w:val="left" w:pos="1843"/>
        </w:tabs>
        <w:ind w:left="425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This will take place if the </w:t>
      </w:r>
      <w:r w:rsidR="00823BF9">
        <w:rPr>
          <w:rFonts w:ascii="Arial" w:eastAsia="Times New Roman" w:hAnsi="Arial"/>
          <w:sz w:val="22"/>
          <w:szCs w:val="22"/>
        </w:rPr>
        <w:t>individual</w:t>
      </w:r>
      <w:r>
        <w:rPr>
          <w:rFonts w:ascii="Arial" w:eastAsia="Times New Roman" w:hAnsi="Arial"/>
          <w:sz w:val="22"/>
          <w:szCs w:val="22"/>
        </w:rPr>
        <w:t xml:space="preserve"> appeals because</w:t>
      </w:r>
      <w:r w:rsidR="00823BF9">
        <w:rPr>
          <w:rFonts w:ascii="Arial" w:eastAsia="Times New Roman" w:hAnsi="Arial"/>
          <w:sz w:val="22"/>
          <w:szCs w:val="22"/>
        </w:rPr>
        <w:t>-</w:t>
      </w:r>
    </w:p>
    <w:p w14:paraId="1BB50A45" w14:textId="77777777" w:rsidR="00E55714" w:rsidRDefault="00E55714" w:rsidP="00E55714">
      <w:pPr>
        <w:tabs>
          <w:tab w:val="left" w:pos="425"/>
          <w:tab w:val="left" w:pos="992"/>
          <w:tab w:val="left" w:pos="1843"/>
        </w:tabs>
        <w:ind w:left="709" w:firstLine="11"/>
        <w:jc w:val="both"/>
        <w:rPr>
          <w:rFonts w:ascii="Arial" w:eastAsia="Times New Roman" w:hAnsi="Arial"/>
          <w:sz w:val="22"/>
          <w:szCs w:val="22"/>
        </w:rPr>
      </w:pPr>
    </w:p>
    <w:p w14:paraId="0B57B6BC" w14:textId="77777777" w:rsidR="00E55714" w:rsidRDefault="00E55714" w:rsidP="00E55714">
      <w:pPr>
        <w:widowControl w:val="0"/>
        <w:numPr>
          <w:ilvl w:val="0"/>
          <w:numId w:val="3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1145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they claim that the decision to dismiss was too harsh for the offence committed</w:t>
      </w:r>
    </w:p>
    <w:p w14:paraId="3F0A1094" w14:textId="77777777" w:rsidR="00E55714" w:rsidRDefault="00E55714" w:rsidP="00E55714">
      <w:pPr>
        <w:widowControl w:val="0"/>
        <w:numPr>
          <w:ilvl w:val="0"/>
          <w:numId w:val="3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1145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they claim that the evidence was unreliable</w:t>
      </w:r>
    </w:p>
    <w:p w14:paraId="002AE625" w14:textId="77777777" w:rsidR="00E55714" w:rsidRDefault="00E55714" w:rsidP="00E55714">
      <w:pPr>
        <w:widowControl w:val="0"/>
        <w:numPr>
          <w:ilvl w:val="0"/>
          <w:numId w:val="3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1145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they have new evidence</w:t>
      </w:r>
    </w:p>
    <w:p w14:paraId="08CBCDE5" w14:textId="77777777" w:rsidR="00E55714" w:rsidRDefault="00E55714" w:rsidP="00E55714">
      <w:pPr>
        <w:widowControl w:val="0"/>
        <w:numPr>
          <w:ilvl w:val="0"/>
          <w:numId w:val="3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1145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they claim that a serious procedural error was made</w:t>
      </w:r>
    </w:p>
    <w:p w14:paraId="0DA6835E" w14:textId="77777777" w:rsidR="00E55714" w:rsidRDefault="00E55714" w:rsidP="00E55714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/>
          <w:sz w:val="22"/>
          <w:szCs w:val="22"/>
        </w:rPr>
      </w:pPr>
    </w:p>
    <w:p w14:paraId="50F87205" w14:textId="086915BC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The </w:t>
      </w:r>
      <w:r w:rsidR="00823BF9">
        <w:rPr>
          <w:rFonts w:ascii="Arial" w:eastAsia="Times New Roman" w:hAnsi="Arial"/>
          <w:sz w:val="22"/>
          <w:szCs w:val="20"/>
        </w:rPr>
        <w:t>Chair</w:t>
      </w:r>
      <w:r w:rsidR="00A70177">
        <w:rPr>
          <w:rFonts w:ascii="Arial" w:eastAsia="Times New Roman" w:hAnsi="Arial"/>
          <w:sz w:val="22"/>
          <w:szCs w:val="20"/>
        </w:rPr>
        <w:t>person</w:t>
      </w:r>
      <w:r>
        <w:rPr>
          <w:rFonts w:ascii="Arial" w:eastAsia="Times New Roman" w:hAnsi="Arial"/>
          <w:sz w:val="22"/>
          <w:szCs w:val="20"/>
        </w:rPr>
        <w:t xml:space="preserve"> may decide to uphold the original decision to dismiss based upon the outcome of the review or re-hearing.  Where the decision is made to re-instate the </w:t>
      </w:r>
      <w:r w:rsidR="00A70177">
        <w:rPr>
          <w:rFonts w:ascii="Arial" w:eastAsia="Times New Roman" w:hAnsi="Arial"/>
          <w:sz w:val="22"/>
          <w:szCs w:val="22"/>
        </w:rPr>
        <w:t>individual,</w:t>
      </w:r>
      <w:r w:rsidR="00823BF9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0"/>
        </w:rPr>
        <w:t>this will be effective from the date of dismissal.</w:t>
      </w:r>
    </w:p>
    <w:p w14:paraId="663B1111" w14:textId="432EF1BC" w:rsidR="00E55714" w:rsidRDefault="00E55714" w:rsidP="00E55714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The </w:t>
      </w:r>
      <w:r w:rsidR="00823BF9">
        <w:rPr>
          <w:rFonts w:ascii="Arial" w:eastAsia="Times New Roman" w:hAnsi="Arial"/>
          <w:sz w:val="22"/>
          <w:szCs w:val="22"/>
        </w:rPr>
        <w:t xml:space="preserve">individual </w:t>
      </w:r>
      <w:r>
        <w:rPr>
          <w:rFonts w:ascii="Arial" w:eastAsia="Times New Roman" w:hAnsi="Arial"/>
          <w:sz w:val="22"/>
          <w:szCs w:val="20"/>
        </w:rPr>
        <w:t xml:space="preserve">will be informed of the outcome of the appeal within </w:t>
      </w:r>
      <w:r w:rsidRPr="00403F99">
        <w:rPr>
          <w:rFonts w:ascii="Arial" w:eastAsia="Times New Roman" w:hAnsi="Arial"/>
          <w:sz w:val="22"/>
          <w:szCs w:val="20"/>
        </w:rPr>
        <w:t>5</w:t>
      </w:r>
      <w:r w:rsidR="00823BF9" w:rsidRPr="00403F99">
        <w:rPr>
          <w:rFonts w:ascii="Arial" w:eastAsia="Times New Roman" w:hAnsi="Arial"/>
          <w:sz w:val="22"/>
          <w:szCs w:val="20"/>
        </w:rPr>
        <w:t xml:space="preserve"> (five)</w:t>
      </w:r>
      <w:r w:rsidRPr="00403F99">
        <w:rPr>
          <w:rFonts w:ascii="Arial" w:eastAsia="Times New Roman" w:hAnsi="Arial"/>
          <w:sz w:val="22"/>
          <w:szCs w:val="20"/>
        </w:rPr>
        <w:t xml:space="preserve"> working days.</w:t>
      </w:r>
      <w:r>
        <w:rPr>
          <w:rFonts w:ascii="Arial" w:eastAsia="Times New Roman" w:hAnsi="Arial"/>
          <w:sz w:val="22"/>
          <w:szCs w:val="20"/>
        </w:rPr>
        <w:t xml:space="preserve"> </w:t>
      </w:r>
    </w:p>
    <w:p w14:paraId="030A9E8F" w14:textId="4045702D" w:rsidR="00E55714" w:rsidRDefault="00E55714" w:rsidP="00CF3218">
      <w:pPr>
        <w:widowControl w:val="0"/>
        <w:numPr>
          <w:ilvl w:val="1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994" w:hanging="562"/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Written records should be kept of the facts, findings and outcome of the appeal by the person conducting the appeal.  </w:t>
      </w:r>
    </w:p>
    <w:p w14:paraId="42ED5034" w14:textId="252ABD46" w:rsidR="00CF3218" w:rsidRDefault="00CF3218" w:rsidP="00CF3218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432"/>
        <w:jc w:val="both"/>
        <w:rPr>
          <w:rFonts w:ascii="Arial" w:eastAsia="Times New Roman" w:hAnsi="Arial"/>
          <w:sz w:val="22"/>
          <w:szCs w:val="20"/>
        </w:rPr>
      </w:pPr>
    </w:p>
    <w:p w14:paraId="73ABECDC" w14:textId="77777777" w:rsidR="00CF3218" w:rsidRDefault="00CF3218" w:rsidP="00CF3218">
      <w:pPr>
        <w:widowControl w:val="0"/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ind w:left="432"/>
        <w:jc w:val="both"/>
        <w:rPr>
          <w:rFonts w:ascii="Arial" w:eastAsia="Times New Roman" w:hAnsi="Arial"/>
          <w:sz w:val="22"/>
          <w:szCs w:val="20"/>
        </w:rPr>
      </w:pPr>
    </w:p>
    <w:p w14:paraId="2E3064CD" w14:textId="62A9EAF8" w:rsidR="00CF3218" w:rsidRPr="00A11B06" w:rsidRDefault="00A11B06" w:rsidP="00CF3218">
      <w:pPr>
        <w:widowControl w:val="0"/>
        <w:numPr>
          <w:ilvl w:val="0"/>
          <w:numId w:val="1"/>
        </w:numPr>
        <w:tabs>
          <w:tab w:val="left" w:pos="425"/>
          <w:tab w:val="left" w:pos="992"/>
          <w:tab w:val="left" w:pos="1843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/>
          <w:b/>
          <w:bCs/>
          <w:sz w:val="22"/>
          <w:szCs w:val="20"/>
        </w:rPr>
      </w:pPr>
      <w:r w:rsidRPr="00A11B06">
        <w:rPr>
          <w:rFonts w:ascii="Arial" w:eastAsia="Times New Roman" w:hAnsi="Arial"/>
          <w:b/>
          <w:bCs/>
          <w:sz w:val="22"/>
          <w:szCs w:val="20"/>
        </w:rPr>
        <w:t>Statements to the Media</w:t>
      </w:r>
    </w:p>
    <w:p w14:paraId="7BC3BDB5" w14:textId="1F7ED950" w:rsidR="00CF3218" w:rsidRDefault="00CF3218" w:rsidP="007A303B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>If a member of the Trustees or Committee are contacted by the Press or Media for an interview/comment, only the Chairperson has the authority to discuss information.</w:t>
      </w:r>
    </w:p>
    <w:sectPr w:rsidR="00CF3218" w:rsidSect="0004025D">
      <w:headerReference w:type="default" r:id="rId7"/>
      <w:pgSz w:w="11906" w:h="16838" w:code="9"/>
      <w:pgMar w:top="288" w:right="720" w:bottom="288" w:left="115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36EE" w14:textId="77777777" w:rsidR="00613E25" w:rsidRDefault="00613E25" w:rsidP="00823BF9">
      <w:r>
        <w:separator/>
      </w:r>
    </w:p>
  </w:endnote>
  <w:endnote w:type="continuationSeparator" w:id="0">
    <w:p w14:paraId="685681DB" w14:textId="77777777" w:rsidR="00613E25" w:rsidRDefault="00613E25" w:rsidP="0082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4EE4" w14:textId="77777777" w:rsidR="00613E25" w:rsidRDefault="00613E25" w:rsidP="00823BF9">
      <w:r>
        <w:separator/>
      </w:r>
    </w:p>
  </w:footnote>
  <w:footnote w:type="continuationSeparator" w:id="0">
    <w:p w14:paraId="17007ADF" w14:textId="77777777" w:rsidR="00613E25" w:rsidRDefault="00613E25" w:rsidP="0082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  <w:tblLook w:val="04A0" w:firstRow="1" w:lastRow="0" w:firstColumn="1" w:lastColumn="0" w:noHBand="0" w:noVBand="1"/>
    </w:tblPr>
    <w:tblGrid>
      <w:gridCol w:w="3687"/>
      <w:gridCol w:w="3418"/>
      <w:gridCol w:w="3240"/>
    </w:tblGrid>
    <w:tr w:rsidR="00403F99" w:rsidRPr="00403F99" w14:paraId="2E9A895E" w14:textId="77777777" w:rsidTr="00403F99">
      <w:trPr>
        <w:cantSplit/>
        <w:trHeight w:val="255"/>
      </w:trPr>
      <w:tc>
        <w:tcPr>
          <w:tcW w:w="1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1037C5" w14:textId="77777777" w:rsidR="00403F99" w:rsidRPr="00403F99" w:rsidRDefault="00403F99" w:rsidP="00403F99">
          <w:pPr>
            <w:spacing w:line="252" w:lineRule="auto"/>
            <w:jc w:val="center"/>
            <w:rPr>
              <w:rFonts w:ascii="Arial" w:hAnsi="Arial" w:cs="Arial"/>
              <w:b/>
              <w:i/>
            </w:rPr>
          </w:pPr>
          <w:r w:rsidRPr="00403F99">
            <w:rPr>
              <w:rFonts w:ascii="Arial" w:hAnsi="Arial" w:cs="Arial"/>
              <w:b/>
              <w:i/>
            </w:rPr>
            <w:t xml:space="preserve">Policies + Procedures </w:t>
          </w:r>
        </w:p>
        <w:p w14:paraId="42383431" w14:textId="77777777" w:rsidR="00403F99" w:rsidRPr="00403F99" w:rsidRDefault="00403F99" w:rsidP="00403F99">
          <w:pPr>
            <w:spacing w:line="252" w:lineRule="auto"/>
            <w:jc w:val="center"/>
            <w:rPr>
              <w:rFonts w:ascii="Arial" w:hAnsi="Arial" w:cs="Arial"/>
              <w:b/>
              <w:i/>
            </w:rPr>
          </w:pPr>
          <w:r w:rsidRPr="00403F99">
            <w:rPr>
              <w:rFonts w:ascii="Arial" w:hAnsi="Arial" w:cs="Arial"/>
              <w:b/>
              <w:i/>
            </w:rPr>
            <w:t>Houghton Regis Memorial Hall</w:t>
          </w:r>
        </w:p>
      </w:tc>
      <w:tc>
        <w:tcPr>
          <w:tcW w:w="16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7604E" w14:textId="2489DC24" w:rsidR="00113E00" w:rsidRPr="00BE28B4" w:rsidRDefault="00403F99" w:rsidP="00113E00">
          <w:pPr>
            <w:spacing w:line="252" w:lineRule="auto"/>
            <w:ind w:right="-62"/>
            <w:jc w:val="center"/>
            <w:rPr>
              <w:rFonts w:ascii="Arial" w:hAnsi="Arial" w:cs="Arial"/>
              <w:b/>
            </w:rPr>
          </w:pPr>
          <w:r w:rsidRPr="00403F99">
            <w:rPr>
              <w:rFonts w:ascii="Arial" w:hAnsi="Arial" w:cs="Arial"/>
              <w:b/>
            </w:rPr>
            <w:t xml:space="preserve">Policy No: </w:t>
          </w:r>
          <w:r w:rsidRPr="00BE28B4">
            <w:rPr>
              <w:rFonts w:ascii="Arial" w:hAnsi="Arial" w:cs="Arial"/>
              <w:b/>
            </w:rPr>
            <w:t>00</w:t>
          </w:r>
          <w:r w:rsidR="008A63E3">
            <w:rPr>
              <w:rFonts w:ascii="Arial" w:hAnsi="Arial" w:cs="Arial"/>
              <w:b/>
            </w:rPr>
            <w:t>5</w:t>
          </w:r>
        </w:p>
        <w:p w14:paraId="3A235C4B" w14:textId="3EEC6925" w:rsidR="00403F99" w:rsidRPr="00403F99" w:rsidRDefault="00113E00" w:rsidP="00113E00">
          <w:pPr>
            <w:spacing w:line="252" w:lineRule="auto"/>
            <w:ind w:right="-62"/>
            <w:jc w:val="center"/>
            <w:rPr>
              <w:rFonts w:ascii="Arial" w:hAnsi="Arial" w:cs="Arial"/>
              <w:b/>
            </w:rPr>
          </w:pPr>
          <w:r w:rsidRPr="00BE28B4">
            <w:rPr>
              <w:rFonts w:ascii="Arial" w:hAnsi="Arial" w:cs="Arial"/>
              <w:b/>
            </w:rPr>
            <w:t>D</w:t>
          </w:r>
          <w:r w:rsidR="006F1FAD" w:rsidRPr="00BE28B4">
            <w:rPr>
              <w:rFonts w:ascii="Arial" w:hAnsi="Arial" w:cs="Arial"/>
              <w:b/>
            </w:rPr>
            <w:t>ISCIPLINARY</w:t>
          </w:r>
          <w:r w:rsidRPr="00BE28B4">
            <w:rPr>
              <w:rFonts w:ascii="Arial" w:hAnsi="Arial" w:cs="Arial"/>
              <w:b/>
            </w:rPr>
            <w:t xml:space="preserve"> PROCEDURE</w:t>
          </w:r>
        </w:p>
      </w:tc>
      <w:tc>
        <w:tcPr>
          <w:tcW w:w="15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48F2E1" w14:textId="3062A555" w:rsidR="00403F99" w:rsidRPr="007A303B" w:rsidRDefault="007A303B" w:rsidP="007A303B">
          <w:pPr>
            <w:pStyle w:val="Footer"/>
            <w:spacing w:line="252" w:lineRule="auto"/>
            <w:jc w:val="right"/>
            <w:rPr>
              <w:rFonts w:cs="Arial"/>
              <w:iCs/>
              <w:sz w:val="24"/>
              <w:szCs w:val="24"/>
            </w:rPr>
          </w:pPr>
          <w:r w:rsidRPr="007A303B">
            <w:rPr>
              <w:rFonts w:cs="Arial"/>
              <w:iCs/>
              <w:sz w:val="24"/>
              <w:szCs w:val="24"/>
            </w:rPr>
            <w:t xml:space="preserve">Page </w:t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fldChar w:fldCharType="begin"/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instrText xml:space="preserve"> PAGE  \* Arabic  \* MERGEFORMAT </w:instrText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fldChar w:fldCharType="separate"/>
          </w:r>
          <w:r w:rsidRPr="007A303B">
            <w:rPr>
              <w:rFonts w:cs="Arial"/>
              <w:b/>
              <w:bCs/>
              <w:iCs/>
              <w:noProof/>
              <w:sz w:val="24"/>
              <w:szCs w:val="24"/>
            </w:rPr>
            <w:t>1</w:t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fldChar w:fldCharType="end"/>
          </w:r>
          <w:r w:rsidRPr="007A303B">
            <w:rPr>
              <w:rFonts w:cs="Arial"/>
              <w:iCs/>
              <w:sz w:val="24"/>
              <w:szCs w:val="24"/>
            </w:rPr>
            <w:t xml:space="preserve"> of </w:t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fldChar w:fldCharType="begin"/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instrText xml:space="preserve"> NUMPAGES  \* Arabic  \* MERGEFORMAT </w:instrText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fldChar w:fldCharType="separate"/>
          </w:r>
          <w:r w:rsidRPr="007A303B">
            <w:rPr>
              <w:rFonts w:cs="Arial"/>
              <w:b/>
              <w:bCs/>
              <w:iCs/>
              <w:noProof/>
              <w:sz w:val="24"/>
              <w:szCs w:val="24"/>
            </w:rPr>
            <w:t>2</w:t>
          </w:r>
          <w:r w:rsidRPr="007A303B">
            <w:rPr>
              <w:rFonts w:cs="Arial"/>
              <w:b/>
              <w:bCs/>
              <w:iCs/>
              <w:sz w:val="24"/>
              <w:szCs w:val="24"/>
            </w:rPr>
            <w:fldChar w:fldCharType="end"/>
          </w:r>
        </w:p>
      </w:tc>
    </w:tr>
  </w:tbl>
  <w:p w14:paraId="799496A3" w14:textId="77777777" w:rsidR="00403F99" w:rsidRPr="00403F99" w:rsidRDefault="00403F99" w:rsidP="00403F99">
    <w:pPr>
      <w:rPr>
        <w:rFonts w:ascii="Arial" w:hAnsi="Arial" w:cs="Arial"/>
        <w:sz w:val="20"/>
        <w:szCs w:val="20"/>
      </w:rPr>
    </w:pPr>
  </w:p>
  <w:tbl>
    <w:tblPr>
      <w:tblW w:w="516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  <w:tblLook w:val="04A0" w:firstRow="1" w:lastRow="0" w:firstColumn="1" w:lastColumn="0" w:noHBand="0" w:noVBand="1"/>
    </w:tblPr>
    <w:tblGrid>
      <w:gridCol w:w="3687"/>
      <w:gridCol w:w="3418"/>
      <w:gridCol w:w="3240"/>
    </w:tblGrid>
    <w:tr w:rsidR="00403F99" w:rsidRPr="00403F99" w14:paraId="7F7F8DB1" w14:textId="77777777" w:rsidTr="00403F99">
      <w:trPr>
        <w:cantSplit/>
        <w:trHeight w:hRule="exact" w:val="397"/>
      </w:trPr>
      <w:tc>
        <w:tcPr>
          <w:tcW w:w="1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3F3F5" w14:textId="77777777" w:rsidR="00403F99" w:rsidRPr="00403F99" w:rsidRDefault="00403F99" w:rsidP="00403F99">
          <w:pPr>
            <w:rPr>
              <w:rFonts w:ascii="Arial" w:hAnsi="Arial" w:cs="Arial"/>
              <w:i/>
            </w:rPr>
          </w:pPr>
          <w:r w:rsidRPr="00403F99">
            <w:rPr>
              <w:rFonts w:ascii="Arial" w:hAnsi="Arial" w:cs="Arial"/>
              <w:i/>
            </w:rPr>
            <w:t>This policy authorised by:</w:t>
          </w:r>
        </w:p>
      </w:tc>
      <w:tc>
        <w:tcPr>
          <w:tcW w:w="16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92EAE1" w14:textId="77777777" w:rsidR="00403F99" w:rsidRPr="00403F99" w:rsidRDefault="00403F99" w:rsidP="00403F99">
          <w:pPr>
            <w:jc w:val="center"/>
            <w:rPr>
              <w:rFonts w:ascii="Arial" w:hAnsi="Arial" w:cs="Arial"/>
              <w:b/>
              <w:bCs/>
            </w:rPr>
          </w:pPr>
          <w:r w:rsidRPr="00403F99">
            <w:rPr>
              <w:rFonts w:ascii="Arial" w:hAnsi="Arial" w:cs="Arial"/>
              <w:b/>
              <w:bCs/>
            </w:rPr>
            <w:t>KEN WATTINGHAM</w:t>
          </w:r>
        </w:p>
      </w:tc>
      <w:tc>
        <w:tcPr>
          <w:tcW w:w="15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496A4B" w14:textId="1C31BB6E" w:rsidR="00403F99" w:rsidRPr="00403F99" w:rsidRDefault="00403F99" w:rsidP="00403F99">
          <w:pPr>
            <w:rPr>
              <w:rFonts w:ascii="Arial" w:hAnsi="Arial" w:cs="Arial"/>
              <w:i/>
            </w:rPr>
          </w:pPr>
          <w:r w:rsidRPr="00403F99">
            <w:rPr>
              <w:rFonts w:ascii="Arial" w:hAnsi="Arial" w:cs="Arial"/>
              <w:i/>
            </w:rPr>
            <w:t xml:space="preserve">Date:  </w:t>
          </w:r>
          <w:r w:rsidR="00797150">
            <w:rPr>
              <w:rFonts w:ascii="Arial" w:hAnsi="Arial" w:cs="Arial"/>
              <w:i/>
            </w:rPr>
            <w:t>MAY</w:t>
          </w:r>
          <w:r w:rsidR="00113E00" w:rsidRPr="00403F99">
            <w:rPr>
              <w:rFonts w:ascii="Arial" w:hAnsi="Arial" w:cs="Arial"/>
              <w:i/>
            </w:rPr>
            <w:t xml:space="preserve"> 202</w:t>
          </w:r>
          <w:r w:rsidR="001B4FCF">
            <w:rPr>
              <w:rFonts w:ascii="Arial" w:hAnsi="Arial" w:cs="Arial"/>
              <w:i/>
            </w:rPr>
            <w:t>4</w:t>
          </w:r>
        </w:p>
      </w:tc>
    </w:tr>
    <w:tr w:rsidR="00403F99" w:rsidRPr="008C5B31" w14:paraId="38E5175A" w14:textId="77777777" w:rsidTr="00403F99">
      <w:trPr>
        <w:cantSplit/>
        <w:trHeight w:hRule="exact" w:val="397"/>
      </w:trPr>
      <w:tc>
        <w:tcPr>
          <w:tcW w:w="1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C652" w14:textId="77777777" w:rsidR="00403F99" w:rsidRPr="00403F99" w:rsidRDefault="00403F99" w:rsidP="00403F99">
          <w:pPr>
            <w:rPr>
              <w:rFonts w:ascii="Arial" w:hAnsi="Arial" w:cs="Arial"/>
              <w:i/>
            </w:rPr>
          </w:pPr>
          <w:r w:rsidRPr="00403F99">
            <w:rPr>
              <w:rFonts w:ascii="Arial" w:hAnsi="Arial" w:cs="Arial"/>
              <w:i/>
            </w:rPr>
            <w:t>Designation:</w:t>
          </w:r>
        </w:p>
      </w:tc>
      <w:tc>
        <w:tcPr>
          <w:tcW w:w="16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41DEA" w14:textId="77777777" w:rsidR="00403F99" w:rsidRPr="00403F99" w:rsidRDefault="00403F99" w:rsidP="00403F99">
          <w:pPr>
            <w:jc w:val="center"/>
            <w:rPr>
              <w:rFonts w:ascii="Arial" w:hAnsi="Arial" w:cs="Arial"/>
              <w:b/>
              <w:bCs/>
            </w:rPr>
          </w:pPr>
          <w:r w:rsidRPr="00403F99">
            <w:rPr>
              <w:rFonts w:ascii="Arial" w:hAnsi="Arial" w:cs="Arial"/>
              <w:b/>
              <w:bCs/>
            </w:rPr>
            <w:t>CHAIRPERSON</w:t>
          </w:r>
        </w:p>
      </w:tc>
      <w:tc>
        <w:tcPr>
          <w:tcW w:w="15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1C89F3" w14:textId="0C1F9CD3" w:rsidR="00403F99" w:rsidRPr="008C5B31" w:rsidRDefault="00403F99" w:rsidP="00403F99">
          <w:pPr>
            <w:rPr>
              <w:rFonts w:ascii="Arial" w:hAnsi="Arial" w:cs="Arial"/>
              <w:i/>
            </w:rPr>
          </w:pPr>
          <w:r w:rsidRPr="00403F99">
            <w:rPr>
              <w:rFonts w:ascii="Arial" w:hAnsi="Arial" w:cs="Arial"/>
              <w:i/>
            </w:rPr>
            <w:t xml:space="preserve">Review Date:  </w:t>
          </w:r>
          <w:r w:rsidR="00797150">
            <w:rPr>
              <w:rFonts w:ascii="Arial" w:hAnsi="Arial" w:cs="Arial"/>
              <w:i/>
            </w:rPr>
            <w:t>MAY</w:t>
          </w:r>
          <w:r w:rsidRPr="00403F99">
            <w:rPr>
              <w:rFonts w:ascii="Arial" w:hAnsi="Arial" w:cs="Arial"/>
              <w:i/>
            </w:rPr>
            <w:t xml:space="preserve"> 202</w:t>
          </w:r>
          <w:r w:rsidR="00797150">
            <w:rPr>
              <w:rFonts w:ascii="Arial" w:hAnsi="Arial" w:cs="Arial"/>
              <w:i/>
            </w:rPr>
            <w:t>7</w:t>
          </w:r>
        </w:p>
      </w:tc>
    </w:tr>
  </w:tbl>
  <w:p w14:paraId="568CB4B8" w14:textId="77777777" w:rsidR="00823BF9" w:rsidRDefault="00823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337"/>
    <w:multiLevelType w:val="hybridMultilevel"/>
    <w:tmpl w:val="9D6CE516"/>
    <w:lvl w:ilvl="0" w:tplc="B84CE27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63E9"/>
    <w:multiLevelType w:val="multilevel"/>
    <w:tmpl w:val="0D56F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  <w:u w:val="none"/>
      </w:rPr>
    </w:lvl>
  </w:abstractNum>
  <w:abstractNum w:abstractNumId="2" w15:restartNumberingAfterBreak="0">
    <w:nsid w:val="49FA2DD7"/>
    <w:multiLevelType w:val="multilevel"/>
    <w:tmpl w:val="9B522C4E"/>
    <w:lvl w:ilvl="0">
      <w:start w:val="1"/>
      <w:numFmt w:val="bullet"/>
      <w:lvlText w:val="●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C349C4"/>
    <w:multiLevelType w:val="multilevel"/>
    <w:tmpl w:val="36E8E0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43" w:hanging="851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87728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837170">
    <w:abstractNumId w:val="0"/>
  </w:num>
  <w:num w:numId="3" w16cid:durableId="4191077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84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14"/>
    <w:rsid w:val="0004025D"/>
    <w:rsid w:val="000D3107"/>
    <w:rsid w:val="000F02FF"/>
    <w:rsid w:val="001057E8"/>
    <w:rsid w:val="00113E00"/>
    <w:rsid w:val="001B4FCF"/>
    <w:rsid w:val="001C7848"/>
    <w:rsid w:val="00365D43"/>
    <w:rsid w:val="003C31B5"/>
    <w:rsid w:val="003C4372"/>
    <w:rsid w:val="00403F99"/>
    <w:rsid w:val="00476C50"/>
    <w:rsid w:val="00542643"/>
    <w:rsid w:val="005A2CEA"/>
    <w:rsid w:val="006026A8"/>
    <w:rsid w:val="00613E25"/>
    <w:rsid w:val="006F1FAD"/>
    <w:rsid w:val="00797150"/>
    <w:rsid w:val="007A303B"/>
    <w:rsid w:val="00823BF9"/>
    <w:rsid w:val="008A63E3"/>
    <w:rsid w:val="008F6390"/>
    <w:rsid w:val="009B6A2E"/>
    <w:rsid w:val="009D3F47"/>
    <w:rsid w:val="00A019B6"/>
    <w:rsid w:val="00A01A6D"/>
    <w:rsid w:val="00A11B06"/>
    <w:rsid w:val="00A70177"/>
    <w:rsid w:val="00B136F1"/>
    <w:rsid w:val="00BD4068"/>
    <w:rsid w:val="00BE28B4"/>
    <w:rsid w:val="00C819DB"/>
    <w:rsid w:val="00CA1F02"/>
    <w:rsid w:val="00CF3218"/>
    <w:rsid w:val="00D50DA6"/>
    <w:rsid w:val="00E55714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0C69"/>
  <w15:chartTrackingRefBased/>
  <w15:docId w15:val="{D4CB15B7-4114-4AE7-9252-CD09EFBA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5714"/>
    <w:pPr>
      <w:tabs>
        <w:tab w:val="center" w:pos="4153"/>
        <w:tab w:val="right" w:pos="8306"/>
      </w:tabs>
    </w:pPr>
    <w:rPr>
      <w:rFonts w:ascii="Arial" w:eastAsia="Times New Roman" w:hAnsi="Arial"/>
      <w:snapToGrid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55714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3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BF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ChrisF</dc:creator>
  <cp:keywords/>
  <dc:description/>
  <cp:lastModifiedBy>Christine Forber</cp:lastModifiedBy>
  <cp:revision>4</cp:revision>
  <cp:lastPrinted>2023-04-10T12:02:00Z</cp:lastPrinted>
  <dcterms:created xsi:type="dcterms:W3CDTF">2024-04-17T11:59:00Z</dcterms:created>
  <dcterms:modified xsi:type="dcterms:W3CDTF">2024-05-19T11:09:00Z</dcterms:modified>
</cp:coreProperties>
</file>